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E0A3" w14:textId="3A957F4F" w:rsidR="008A767D" w:rsidRPr="001519F0" w:rsidRDefault="00496833" w:rsidP="001519F0">
      <w:pPr>
        <w:spacing w:line="276" w:lineRule="auto"/>
        <w:rPr>
          <w:rFonts w:ascii="Lato Light" w:hAnsi="Lato Light" w:cs="Times New Roman"/>
          <w:b/>
          <w:sz w:val="22"/>
          <w:szCs w:val="22"/>
        </w:rPr>
      </w:pPr>
      <w:r>
        <w:rPr>
          <w:rFonts w:ascii="Lato Light" w:hAnsi="Lato Light" w:cs="Times New Roman"/>
          <w:b/>
          <w:sz w:val="22"/>
          <w:szCs w:val="22"/>
        </w:rPr>
        <w:t>W</w:t>
      </w:r>
      <w:r w:rsidR="008A767D" w:rsidRPr="00F41318">
        <w:rPr>
          <w:rFonts w:ascii="Lato Light" w:hAnsi="Lato Light" w:cs="Times New Roman"/>
          <w:b/>
          <w:sz w:val="22"/>
          <w:szCs w:val="22"/>
        </w:rPr>
        <w:t>zór ośw</w:t>
      </w:r>
      <w:r w:rsidR="001519F0">
        <w:rPr>
          <w:rFonts w:ascii="Lato Light" w:hAnsi="Lato Light" w:cs="Times New Roman"/>
          <w:b/>
          <w:sz w:val="22"/>
          <w:szCs w:val="22"/>
        </w:rPr>
        <w:t>iadczenia o niewystępowaniu pomocy publicznej</w:t>
      </w:r>
    </w:p>
    <w:p w14:paraId="587C8124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</w:rPr>
      </w:pPr>
      <w:r w:rsidRPr="004636A9">
        <w:rPr>
          <w:rFonts w:ascii="Lato Light" w:hAnsi="Lato Light"/>
        </w:rPr>
        <w:t xml:space="preserve">Narodowa Agencja Wymiany Akademickiej informuje, że nie udziela pomocy publicznej i pomocy </w:t>
      </w:r>
      <w:r w:rsidRPr="004636A9">
        <w:rPr>
          <w:rFonts w:ascii="Lato Light" w:hAnsi="Lato Light"/>
          <w:i/>
        </w:rPr>
        <w:t xml:space="preserve">de </w:t>
      </w:r>
      <w:proofErr w:type="spellStart"/>
      <w:r w:rsidRPr="004636A9">
        <w:rPr>
          <w:rFonts w:ascii="Lato Light" w:hAnsi="Lato Light"/>
          <w:i/>
        </w:rPr>
        <w:t>minimis</w:t>
      </w:r>
      <w:proofErr w:type="spellEnd"/>
      <w:r w:rsidRPr="004636A9">
        <w:rPr>
          <w:rFonts w:ascii="Lato Light" w:hAnsi="Lato Light"/>
        </w:rPr>
        <w:t>, w związku z czym Wnioskodawca zobowiązany jest do potwierdzenia niewystępowania pomocy publicznej w przypadku pozyskania finansowania Projektu.</w:t>
      </w:r>
    </w:p>
    <w:p w14:paraId="3B731733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  <w:i/>
        </w:rPr>
      </w:pPr>
    </w:p>
    <w:p w14:paraId="494DD731" w14:textId="77777777" w:rsidR="008A767D" w:rsidRPr="004636A9" w:rsidRDefault="008A767D" w:rsidP="008A767D">
      <w:pPr>
        <w:pStyle w:val="Akapitzlist"/>
        <w:spacing w:before="100" w:beforeAutospacing="1" w:after="120"/>
        <w:ind w:left="0"/>
        <w:jc w:val="both"/>
        <w:rPr>
          <w:rFonts w:ascii="Lato Light" w:hAnsi="Lato Light"/>
        </w:rPr>
      </w:pPr>
      <w:r w:rsidRPr="004636A9">
        <w:rPr>
          <w:rFonts w:ascii="Lato Light" w:hAnsi="Lato Light"/>
        </w:rPr>
        <w:t xml:space="preserve">Proszę o wypełnienie poniższego kwestionariusza potwierdzającego niewystępowanie pomocy publicznej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1FA06D59" w14:textId="77777777" w:rsidTr="00B52DAA">
        <w:trPr>
          <w:cantSplit/>
          <w:trHeight w:val="4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A456092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969ED9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  <w:lang w:eastAsia="pl-PL"/>
              </w:rPr>
              <w:t xml:space="preserve">Czy Podmiot prowadzi </w:t>
            </w: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działalność gospodarczą w rozumieniu unijnego prawa konkurencji (np. czy świadczy usługi lub oferuje towary na rynku)?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58D48E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F30BD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5DA4BE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DDF1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688FC07A" w14:textId="77777777" w:rsidR="008A767D" w:rsidRPr="004636A9" w:rsidRDefault="008A767D" w:rsidP="008A767D">
      <w:pPr>
        <w:ind w:hanging="142"/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1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ab/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wyboru odpowiedzi „TAK” należy przejść do pytania nr 2.</w:t>
      </w:r>
    </w:p>
    <w:p w14:paraId="6DD7FDA8" w14:textId="77777777" w:rsidR="008A767D" w:rsidRPr="004636A9" w:rsidRDefault="008A767D" w:rsidP="008A767D">
      <w:pPr>
        <w:tabs>
          <w:tab w:val="left" w:pos="142"/>
        </w:tabs>
        <w:ind w:hanging="142"/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2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ab/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„NIE” należy przerwać wypełnianie formularza i uzupełnić poniższe oświadczenie. Udzielona odpowiedź wskazuje, że pomoc uzyskana ze środków NAWA </w:t>
      </w:r>
      <w:r w:rsidRPr="004636A9">
        <w:rPr>
          <w:rFonts w:ascii="Lato Light" w:eastAsia="Calibri" w:hAnsi="Lato Light" w:cs="Arial"/>
          <w:sz w:val="22"/>
          <w:szCs w:val="22"/>
          <w:u w:val="single"/>
          <w:lang w:eastAsia="pl-PL"/>
        </w:rPr>
        <w:t>nie będzie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stanowić pomocy publicznej, o której mowa w art. 107 ust. 1 TFUE.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04CF8B75" w14:textId="77777777" w:rsidTr="00B52DAA">
        <w:trPr>
          <w:cantSplit/>
          <w:trHeight w:val="4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22B011B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6D63204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color w:val="FF0000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Czy wnioskowane finansowanie Projektu stanowić będzie finansowanie wyłącznie działalności niegospodarczej podmiotu (tj. Projekt nie polega na prowadzeniu działalności gospodarczej, ani nie jest z nią związany, a jego wyniki nie będą wykorzystywane do prowadzenia takiej działalności)?</w:t>
            </w:r>
            <w:r w:rsidRPr="004636A9">
              <w:rPr>
                <w:rFonts w:ascii="Lato Light" w:eastAsia="Calibri" w:hAnsi="Lato Light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4988B0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D9B7B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712ABD5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6BE4D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2925C82B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shd w:val="clear" w:color="auto" w:fill="FFFFFF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3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podmiotów innych niż</w:t>
      </w: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organizacje prowadzące badania i upowszechniające wiedzę, w celu oceny czy daną działalność podmiotu można uznać za działalność niegospodarczą prosimy o zapoznanie się z decyzjami Komisji Europejskiej (m.in. pkt. 17-25 </w:t>
      </w:r>
      <w:r w:rsidRPr="004636A9">
        <w:rPr>
          <w:rFonts w:ascii="Lato Light" w:eastAsia="Calibri" w:hAnsi="Lato Light" w:cs="Arial"/>
          <w:sz w:val="22"/>
          <w:szCs w:val="22"/>
          <w:shd w:val="clear" w:color="auto" w:fill="FFFFFF"/>
        </w:rPr>
        <w:t xml:space="preserve">decyzji KE nr N293/2008; pkt. 12-26 decyzji KE nr N540/2008; pkt. 51-55 decyzji KE N470/2008; pkt. 96-108 Decyzji KE SA.20829) i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orzecznictwem Europejskiego Trybunału Sprawiedliwości (m.in. wyrok w sprawie </w:t>
      </w:r>
      <w:r w:rsidRPr="004636A9">
        <w:rPr>
          <w:rFonts w:ascii="Lato Light" w:eastAsia="Calibri" w:hAnsi="Lato Light" w:cs="Arial"/>
          <w:sz w:val="22"/>
          <w:szCs w:val="22"/>
          <w:shd w:val="clear" w:color="auto" w:fill="FFFFFF"/>
        </w:rPr>
        <w:t>C-138/11; opinia w sprawie C-205/03 P).</w:t>
      </w:r>
    </w:p>
    <w:p w14:paraId="297CEA19" w14:textId="77777777" w:rsidR="008A767D" w:rsidRPr="004636A9" w:rsidRDefault="008A767D" w:rsidP="008A767D">
      <w:pPr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4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>W przypadku wyboru odpowiedzi „TAK” należy przejść do pytania nr 3.</w:t>
      </w:r>
    </w:p>
    <w:p w14:paraId="382D77B5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5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„NIE” należy przerwać wypełnianie formularza, udzielenie finansowania przez NAWA nie będzie możliwe.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28"/>
        <w:gridCol w:w="690"/>
        <w:gridCol w:w="709"/>
        <w:gridCol w:w="708"/>
      </w:tblGrid>
      <w:tr w:rsidR="008A767D" w:rsidRPr="004636A9" w14:paraId="72EE6DDD" w14:textId="77777777" w:rsidTr="00B52DAA">
        <w:trPr>
          <w:cantSplit/>
          <w:trHeight w:val="15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3561E31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D1038F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Czy w przypadku prowadzenia działalności gospodarczej i niegospodarczej można rozdzielić oba rodzaje działalności, ich koszty i finansowanie i przychody?</w:t>
            </w:r>
          </w:p>
          <w:p w14:paraId="428262E9" w14:textId="77777777" w:rsidR="008A767D" w:rsidRPr="004636A9" w:rsidRDefault="008A767D" w:rsidP="00B52DAA">
            <w:pPr>
              <w:jc w:val="both"/>
              <w:rPr>
                <w:rFonts w:ascii="Lato Light" w:eastAsia="Calibri" w:hAnsi="Lato Light" w:cs="Arial"/>
                <w:sz w:val="22"/>
                <w:szCs w:val="22"/>
              </w:rPr>
            </w:pPr>
            <w:r w:rsidRPr="004636A9">
              <w:rPr>
                <w:rFonts w:ascii="Lato Light" w:eastAsia="Calibri" w:hAnsi="Lato Light" w:cs="Arial"/>
                <w:sz w:val="22"/>
                <w:szCs w:val="22"/>
              </w:rPr>
              <w:t>(Dowodem na odpowiednie rozdzielenie kosztów, finansowania i przychodów mogą być roczne sprawozdania finansowe podmiotu).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1955F2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trike/>
                <w:color w:val="FF0000"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TAK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2DB77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AAA20B3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</w:pP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</w:rPr>
              <w:t>NIE</w:t>
            </w:r>
            <w:r w:rsidRPr="004636A9">
              <w:rPr>
                <w:rFonts w:ascii="Lato Light" w:eastAsia="Calibri" w:hAnsi="Lato Light" w:cs="Arial"/>
                <w:b/>
                <w:bCs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53CE7" w14:textId="77777777" w:rsidR="008A767D" w:rsidRPr="004636A9" w:rsidRDefault="008A767D" w:rsidP="00B52DAA">
            <w:pPr>
              <w:spacing w:after="200" w:line="276" w:lineRule="auto"/>
              <w:rPr>
                <w:rFonts w:ascii="Lato Light" w:eastAsia="Calibri" w:hAnsi="Lato Light" w:cs="Arial"/>
                <w:sz w:val="22"/>
                <w:szCs w:val="22"/>
              </w:rPr>
            </w:pPr>
          </w:p>
        </w:tc>
      </w:tr>
    </w:tbl>
    <w:p w14:paraId="3FF9B28B" w14:textId="77777777" w:rsidR="008A767D" w:rsidRPr="004636A9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 xml:space="preserve">6 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W przypadku wyboru odpowiedzi „TAK” należy przerwać wypełnianie formularza i uzupełnić oświadczenie. Udzielone odpowiedzi wskazują, że pomoc uzyskana ze środków NAWA </w:t>
      </w:r>
      <w:r w:rsidRPr="004636A9">
        <w:rPr>
          <w:rFonts w:ascii="Lato Light" w:eastAsia="Calibri" w:hAnsi="Lato Light" w:cs="Arial"/>
          <w:sz w:val="22"/>
          <w:szCs w:val="22"/>
          <w:u w:val="single"/>
          <w:lang w:eastAsia="pl-PL"/>
        </w:rPr>
        <w:t>nie będzie stanowić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pomocy publicznej, o której mowa w art. 107 ust. 1 TFUE.</w:t>
      </w:r>
    </w:p>
    <w:p w14:paraId="694350B1" w14:textId="7DA7CAE4" w:rsidR="008A767D" w:rsidRDefault="008A767D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  <w:r w:rsidRPr="004636A9">
        <w:rPr>
          <w:rFonts w:ascii="Lato Light" w:eastAsia="Calibri" w:hAnsi="Lato Light" w:cs="Arial"/>
          <w:sz w:val="22"/>
          <w:szCs w:val="22"/>
          <w:vertAlign w:val="superscript"/>
          <w:lang w:eastAsia="pl-PL"/>
        </w:rPr>
        <w:t>7</w:t>
      </w:r>
      <w:r w:rsidRPr="004636A9">
        <w:rPr>
          <w:rFonts w:ascii="Lato Light" w:eastAsia="Calibri" w:hAnsi="Lato Light" w:cs="Arial"/>
          <w:sz w:val="22"/>
          <w:szCs w:val="22"/>
          <w:lang w:eastAsia="pl-PL"/>
        </w:rPr>
        <w:t xml:space="preserve"> W przypadku wyboru odpowiedzi „NIE” należy przerwać wypełnianie formularza, udzielenie finansowania przez NAWA nie będzie możliwe.  </w:t>
      </w:r>
    </w:p>
    <w:p w14:paraId="291F8A0A" w14:textId="0F439EDE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30325D60" w14:textId="6EB6FD1E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7D196241" w14:textId="7B0C2E3B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1D568E17" w14:textId="64D861D6" w:rsidR="00C108AB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5C2E2B94" w14:textId="77777777" w:rsidR="00C108AB" w:rsidRPr="004636A9" w:rsidRDefault="00C108AB" w:rsidP="008A767D">
      <w:pPr>
        <w:jc w:val="both"/>
        <w:rPr>
          <w:rFonts w:ascii="Lato Light" w:eastAsia="Calibri" w:hAnsi="Lato Light" w:cs="Arial"/>
          <w:sz w:val="22"/>
          <w:szCs w:val="22"/>
          <w:lang w:eastAsia="pl-PL"/>
        </w:rPr>
      </w:pPr>
    </w:p>
    <w:p w14:paraId="567B7A1B" w14:textId="03690580" w:rsidR="008A767D" w:rsidRPr="004636A9" w:rsidRDefault="008A767D" w:rsidP="008A767D">
      <w:pPr>
        <w:spacing w:line="276" w:lineRule="auto"/>
        <w:jc w:val="both"/>
        <w:rPr>
          <w:rFonts w:ascii="Lato Light" w:eastAsia="Times New Roman" w:hAnsi="Lato Light" w:cs="Arial"/>
          <w:sz w:val="22"/>
          <w:szCs w:val="22"/>
          <w:lang w:eastAsia="pl-PL"/>
        </w:rPr>
      </w:pPr>
      <w:r w:rsidRPr="004636A9">
        <w:rPr>
          <w:rFonts w:ascii="Lato Light" w:eastAsia="Times New Roman" w:hAnsi="Lato Light" w:cs="Arial"/>
          <w:sz w:val="22"/>
          <w:szCs w:val="22"/>
          <w:lang w:eastAsia="pl-PL"/>
        </w:rPr>
        <w:t>Działając w imie</w:t>
      </w:r>
      <w:r>
        <w:rPr>
          <w:rFonts w:ascii="Lato Light" w:eastAsia="Times New Roman" w:hAnsi="Lato Light" w:cs="Arial"/>
          <w:sz w:val="22"/>
          <w:szCs w:val="22"/>
          <w:lang w:eastAsia="pl-PL"/>
        </w:rPr>
        <w:t>niu Wnioskodawcy</w:t>
      </w:r>
      <w:r w:rsidR="00C108AB">
        <w:rPr>
          <w:rFonts w:ascii="Lato Light" w:eastAsia="Times New Roman" w:hAnsi="Lato Light" w:cs="Arial"/>
          <w:sz w:val="22"/>
          <w:szCs w:val="22"/>
          <w:lang w:eastAsia="pl-PL"/>
        </w:rPr>
        <w:t xml:space="preserve"> – Instytucji zatrudniającej</w:t>
      </w:r>
      <w:r>
        <w:rPr>
          <w:rFonts w:ascii="Lato Light" w:eastAsia="Times New Roman" w:hAnsi="Lato Light" w:cs="Arial"/>
          <w:sz w:val="22"/>
          <w:szCs w:val="22"/>
          <w:lang w:eastAsia="pl-PL"/>
        </w:rPr>
        <w:t xml:space="preserve"> oświadczam, że</w:t>
      </w:r>
      <w:r w:rsidRPr="004636A9">
        <w:rPr>
          <w:rFonts w:ascii="Lato Light" w:eastAsia="Times New Roman" w:hAnsi="Lato Light" w:cs="Arial"/>
          <w:sz w:val="22"/>
          <w:szCs w:val="22"/>
          <w:lang w:eastAsia="pl-PL"/>
        </w:rPr>
        <w:t>:</w:t>
      </w:r>
    </w:p>
    <w:p w14:paraId="5A08358C" w14:textId="77777777" w:rsidR="008A767D" w:rsidRPr="007668CA" w:rsidRDefault="008A767D" w:rsidP="008A767D">
      <w:pPr>
        <w:pStyle w:val="Akapitzlist"/>
        <w:numPr>
          <w:ilvl w:val="0"/>
          <w:numId w:val="5"/>
        </w:numPr>
        <w:spacing w:before="100" w:beforeAutospacing="1" w:after="120"/>
        <w:jc w:val="both"/>
        <w:rPr>
          <w:rFonts w:ascii="Lato Light" w:hAnsi="Lato Light"/>
        </w:rPr>
      </w:pPr>
      <w:r>
        <w:rPr>
          <w:rFonts w:ascii="Lato Light" w:hAnsi="Lato Light"/>
        </w:rPr>
        <w:t>P</w:t>
      </w:r>
      <w:r w:rsidRPr="007668CA">
        <w:rPr>
          <w:rFonts w:ascii="Lato Light" w:hAnsi="Lato Light"/>
        </w:rPr>
        <w:t>owyższe informacje są prawdziwe, kompletne, rzetelne oraz zostały przekazane zgodnie z moją najlepszą wiedzą i przy zachowaniu należytej staranności.</w:t>
      </w:r>
    </w:p>
    <w:p w14:paraId="07FB309A" w14:textId="77777777" w:rsidR="008A767D" w:rsidRDefault="008A767D" w:rsidP="008A767D">
      <w:pPr>
        <w:pStyle w:val="Akapitzlist"/>
        <w:jc w:val="both"/>
        <w:rPr>
          <w:rFonts w:ascii="Lato Light" w:eastAsia="Times New Roman" w:hAnsi="Lato Light" w:cs="Arial"/>
          <w:lang w:eastAsia="pl-PL"/>
        </w:rPr>
      </w:pPr>
    </w:p>
    <w:p w14:paraId="4A843745" w14:textId="1DDAA49D" w:rsidR="008A767D" w:rsidRPr="00740099" w:rsidRDefault="002B5058" w:rsidP="008A767D">
      <w:pPr>
        <w:pStyle w:val="Akapitzlist"/>
        <w:numPr>
          <w:ilvl w:val="0"/>
          <w:numId w:val="5"/>
        </w:numPr>
        <w:jc w:val="both"/>
        <w:rPr>
          <w:rFonts w:ascii="Lato Light" w:eastAsia="Times New Roman" w:hAnsi="Lato Light" w:cs="Arial"/>
          <w:lang w:eastAsia="pl-PL"/>
        </w:rPr>
      </w:pPr>
      <w:r>
        <w:rPr>
          <w:rFonts w:ascii="Lato Light" w:eastAsia="Times New Roman" w:hAnsi="Lato Light" w:cs="Arial"/>
          <w:lang w:eastAsia="pl-PL"/>
        </w:rPr>
        <w:t xml:space="preserve">Wnioskodawca - </w:t>
      </w:r>
      <w:r w:rsidR="00C108AB">
        <w:rPr>
          <w:rFonts w:ascii="Lato Light" w:eastAsia="Times New Roman" w:hAnsi="Lato Light" w:cs="Arial"/>
          <w:lang w:eastAsia="pl-PL"/>
        </w:rPr>
        <w:t xml:space="preserve">Instytucja zatrudniająca </w:t>
      </w:r>
      <w:r w:rsidR="008A767D" w:rsidRPr="00440B3A">
        <w:rPr>
          <w:rFonts w:ascii="Lato Light" w:eastAsia="Times New Roman" w:hAnsi="Lato Light" w:cs="Arial"/>
          <w:lang w:eastAsia="pl-PL"/>
        </w:rPr>
        <w:t>jest o</w:t>
      </w:r>
      <w:r w:rsidR="00C108AB">
        <w:rPr>
          <w:rFonts w:ascii="Lato Light" w:eastAsia="Times New Roman" w:hAnsi="Lato Light" w:cs="Arial"/>
          <w:lang w:eastAsia="pl-PL"/>
        </w:rPr>
        <w:t>rganizacją prowadzącą badania i </w:t>
      </w:r>
      <w:r w:rsidR="008A767D" w:rsidRPr="00440B3A">
        <w:rPr>
          <w:rFonts w:ascii="Lato Light" w:eastAsia="Times New Roman" w:hAnsi="Lato Light" w:cs="Arial"/>
          <w:lang w:eastAsia="pl-PL"/>
        </w:rPr>
        <w:t>upowszechniającą wiedzę w rozumieniu art. 2 pkt 83 rozporządzenia Komisj</w:t>
      </w:r>
      <w:r>
        <w:rPr>
          <w:rFonts w:ascii="Lato Light" w:eastAsia="Times New Roman" w:hAnsi="Lato Light" w:cs="Arial"/>
          <w:lang w:eastAsia="pl-PL"/>
        </w:rPr>
        <w:t>i (UE) nr </w:t>
      </w:r>
      <w:r w:rsidR="008A767D" w:rsidRPr="00440B3A">
        <w:rPr>
          <w:rFonts w:ascii="Lato Light" w:eastAsia="Times New Roman" w:hAnsi="Lato Light" w:cs="Arial"/>
          <w:lang w:eastAsia="pl-PL"/>
        </w:rPr>
        <w:t xml:space="preserve">651/2014 z dnia 17 czerwca </w:t>
      </w:r>
      <w:r w:rsidR="008A767D" w:rsidRPr="00740099">
        <w:rPr>
          <w:rFonts w:ascii="Lato Light" w:eastAsia="Times New Roman" w:hAnsi="Lato Light" w:cs="Arial"/>
          <w:lang w:eastAsia="pl-PL"/>
        </w:rPr>
        <w:t>2014 r. uznającego niek</w:t>
      </w:r>
      <w:r>
        <w:rPr>
          <w:rFonts w:ascii="Lato Light" w:eastAsia="Times New Roman" w:hAnsi="Lato Light" w:cs="Arial"/>
          <w:lang w:eastAsia="pl-PL"/>
        </w:rPr>
        <w:t>tóre rodzaje pomocy za zgodne z </w:t>
      </w:r>
      <w:r w:rsidR="008A767D" w:rsidRPr="00740099">
        <w:rPr>
          <w:rFonts w:ascii="Lato Light" w:eastAsia="Times New Roman" w:hAnsi="Lato Light" w:cs="Arial"/>
          <w:lang w:eastAsia="pl-PL"/>
        </w:rPr>
        <w:t>rynkiem wewnętrznym w zastosowaniu art. 107 i 10</w:t>
      </w:r>
      <w:r>
        <w:rPr>
          <w:rFonts w:ascii="Lato Light" w:eastAsia="Times New Roman" w:hAnsi="Lato Light" w:cs="Arial"/>
          <w:lang w:eastAsia="pl-PL"/>
        </w:rPr>
        <w:t>8 Traktatu (Dz. Urz. UE L 187 z </w:t>
      </w:r>
      <w:r w:rsidR="008A767D" w:rsidRPr="00740099">
        <w:rPr>
          <w:rFonts w:ascii="Lato Light" w:eastAsia="Times New Roman" w:hAnsi="Lato Light" w:cs="Arial"/>
          <w:lang w:eastAsia="pl-PL"/>
        </w:rPr>
        <w:t>26.6.2014, s.1);</w:t>
      </w:r>
    </w:p>
    <w:p w14:paraId="4D493C2A" w14:textId="77777777" w:rsidR="008A767D" w:rsidRPr="00740099" w:rsidRDefault="008A767D" w:rsidP="008A767D">
      <w:pPr>
        <w:pStyle w:val="Akapitzlist"/>
        <w:jc w:val="both"/>
        <w:rPr>
          <w:rFonts w:ascii="Lato Light" w:eastAsia="Times New Roman" w:hAnsi="Lato Light" w:cs="Arial"/>
          <w:lang w:eastAsia="pl-PL"/>
        </w:rPr>
      </w:pPr>
    </w:p>
    <w:p w14:paraId="0D95F8E5" w14:textId="21DF3B3E" w:rsidR="008A767D" w:rsidRPr="00740099" w:rsidRDefault="008A767D" w:rsidP="008A767D">
      <w:pPr>
        <w:pStyle w:val="Akapitzlist"/>
        <w:numPr>
          <w:ilvl w:val="0"/>
          <w:numId w:val="5"/>
        </w:numPr>
        <w:jc w:val="both"/>
        <w:rPr>
          <w:rFonts w:ascii="Lato Light" w:eastAsia="Times New Roman" w:hAnsi="Lato Light" w:cs="Arial"/>
          <w:lang w:eastAsia="pl-PL"/>
        </w:rPr>
      </w:pPr>
      <w:r w:rsidRPr="00740099">
        <w:rPr>
          <w:rFonts w:ascii="Lato Light" w:eastAsia="Times New Roman" w:hAnsi="Lato Light" w:cs="Arial"/>
          <w:lang w:eastAsia="pl-PL"/>
        </w:rPr>
        <w:t xml:space="preserve">Wnioskowane finansowanie z Narodowej Agencji Wymiany Akademickiej na realizację Projektu w ramach Programu  nie stanowi dla Wnioskodawcy </w:t>
      </w:r>
      <w:r w:rsidR="00C108AB">
        <w:rPr>
          <w:rFonts w:ascii="Lato Light" w:eastAsia="Times New Roman" w:hAnsi="Lato Light" w:cs="Arial"/>
          <w:lang w:eastAsia="pl-PL"/>
        </w:rPr>
        <w:t xml:space="preserve"> - Instytucji zatrudniającej </w:t>
      </w:r>
      <w:r w:rsidRPr="00740099">
        <w:rPr>
          <w:rFonts w:ascii="Lato Light" w:eastAsia="Times New Roman" w:hAnsi="Lato Light" w:cs="Arial"/>
          <w:lang w:eastAsia="pl-PL"/>
        </w:rPr>
        <w:t>pomocy publicznej, o której mowa w art. 107 ust. 1 Traktatu o funkcjonowaniu Unii Europejskiej (tekst skonsolidowany Dz. Urz. UE 2010 C 83, s. 1).</w:t>
      </w:r>
    </w:p>
    <w:p w14:paraId="4D7A104E" w14:textId="77777777" w:rsidR="008A767D" w:rsidRPr="00740099" w:rsidRDefault="008A767D" w:rsidP="008A767D">
      <w:pPr>
        <w:ind w:firstLine="851"/>
        <w:jc w:val="both"/>
        <w:rPr>
          <w:rFonts w:ascii="Lato Light" w:hAnsi="Lato Light"/>
          <w:sz w:val="22"/>
          <w:szCs w:val="22"/>
        </w:rPr>
      </w:pPr>
    </w:p>
    <w:p w14:paraId="5ED05321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79120E2C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44B6B17C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2FC3B37F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01C9D3A0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</w:p>
    <w:p w14:paraId="36C8555A" w14:textId="77777777" w:rsidR="008A767D" w:rsidRPr="00740099" w:rsidRDefault="008A767D" w:rsidP="008A767D">
      <w:pPr>
        <w:rPr>
          <w:rFonts w:ascii="Lato Light" w:hAnsi="Lato Light"/>
          <w:sz w:val="22"/>
          <w:szCs w:val="22"/>
        </w:rPr>
      </w:pP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</w:r>
      <w:r w:rsidRPr="00740099">
        <w:rPr>
          <w:rFonts w:ascii="Lato Light" w:hAnsi="Lato Light"/>
          <w:sz w:val="22"/>
          <w:szCs w:val="22"/>
        </w:rPr>
        <w:tab/>
        <w:t>…………………………………………………………………………</w:t>
      </w:r>
    </w:p>
    <w:p w14:paraId="3E7F2854" w14:textId="5CF63FC7" w:rsidR="008A767D" w:rsidRPr="00740099" w:rsidRDefault="008A767D" w:rsidP="00C108AB">
      <w:pPr>
        <w:ind w:left="2124"/>
        <w:rPr>
          <w:rFonts w:ascii="Lato Light" w:hAnsi="Lato Light"/>
          <w:sz w:val="22"/>
          <w:szCs w:val="22"/>
        </w:rPr>
      </w:pPr>
      <w:r w:rsidRPr="00740099">
        <w:rPr>
          <w:rFonts w:ascii="Lato Light" w:hAnsi="Lato Light"/>
          <w:sz w:val="22"/>
          <w:szCs w:val="22"/>
        </w:rPr>
        <w:t>Data i podpis osoby upoważnionej do reprezentowania Wnioskodawcy</w:t>
      </w:r>
      <w:r w:rsidR="00C108AB">
        <w:rPr>
          <w:rFonts w:ascii="Lato Light" w:hAnsi="Lato Light"/>
          <w:sz w:val="22"/>
          <w:szCs w:val="22"/>
        </w:rPr>
        <w:t xml:space="preserve"> –  Instytucji zatrudniającej</w:t>
      </w:r>
    </w:p>
    <w:p w14:paraId="2F3AE5B3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018ACCF0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7E0BCABC" w14:textId="11226C4F" w:rsidR="008A767D" w:rsidRDefault="008A767D" w:rsidP="002B5058">
      <w:pPr>
        <w:rPr>
          <w:rFonts w:ascii="Lato Light" w:hAnsi="Lato Light"/>
          <w:sz w:val="22"/>
          <w:szCs w:val="22"/>
        </w:rPr>
      </w:pPr>
    </w:p>
    <w:p w14:paraId="256D8BCE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76991AE6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6AA9EB2E" w14:textId="77777777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13B026D8" w14:textId="3D0D7DF9" w:rsidR="008A767D" w:rsidRDefault="008A767D" w:rsidP="007668CA">
      <w:pPr>
        <w:ind w:left="708"/>
        <w:rPr>
          <w:rFonts w:ascii="Lato Light" w:hAnsi="Lato Light"/>
          <w:sz w:val="22"/>
          <w:szCs w:val="22"/>
        </w:rPr>
      </w:pPr>
    </w:p>
    <w:p w14:paraId="49A69F36" w14:textId="41E9B0A3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3D2A42F8" w14:textId="6EE6C316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25D7212C" w14:textId="5E9613B0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3E7E3DD9" w14:textId="6171D902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679F077A" w14:textId="515AE45E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26F7C1F7" w14:textId="0BC11B04" w:rsidR="00DB6AAA" w:rsidRDefault="00DB6AAA" w:rsidP="007668CA">
      <w:pPr>
        <w:ind w:left="708"/>
        <w:rPr>
          <w:rFonts w:ascii="Lato Light" w:hAnsi="Lato Light"/>
          <w:sz w:val="22"/>
          <w:szCs w:val="22"/>
        </w:rPr>
      </w:pPr>
    </w:p>
    <w:p w14:paraId="27D3EBB5" w14:textId="492C9150" w:rsidR="006E3F62" w:rsidRDefault="006E3F62" w:rsidP="00D45184">
      <w:pPr>
        <w:rPr>
          <w:rFonts w:ascii="Lato Light" w:hAnsi="Lato Light"/>
          <w:sz w:val="22"/>
          <w:szCs w:val="22"/>
        </w:rPr>
      </w:pPr>
      <w:bookmarkStart w:id="0" w:name="_GoBack"/>
      <w:bookmarkEnd w:id="0"/>
    </w:p>
    <w:sectPr w:rsidR="006E3F62" w:rsidSect="00226319">
      <w:headerReference w:type="default" r:id="rId10"/>
      <w:footerReference w:type="default" r:id="rId11"/>
      <w:pgSz w:w="11900" w:h="16840"/>
      <w:pgMar w:top="2268" w:right="1417" w:bottom="1417" w:left="1417" w:header="6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2D553" w14:textId="77777777" w:rsidR="0048638D" w:rsidRDefault="0048638D">
      <w:r>
        <w:separator/>
      </w:r>
    </w:p>
  </w:endnote>
  <w:endnote w:type="continuationSeparator" w:id="0">
    <w:p w14:paraId="43673945" w14:textId="77777777" w:rsidR="0048638D" w:rsidRDefault="0048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587988"/>
      <w:docPartObj>
        <w:docPartGallery w:val="Page Numbers (Bottom of Page)"/>
        <w:docPartUnique/>
      </w:docPartObj>
    </w:sdtPr>
    <w:sdtEndPr/>
    <w:sdtContent>
      <w:p w14:paraId="06673471" w14:textId="1982BB6D" w:rsidR="008E78B1" w:rsidRDefault="000C2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00">
          <w:rPr>
            <w:noProof/>
          </w:rPr>
          <w:t>2</w:t>
        </w:r>
        <w:r>
          <w:fldChar w:fldCharType="end"/>
        </w:r>
      </w:p>
    </w:sdtContent>
  </w:sdt>
  <w:p w14:paraId="40539151" w14:textId="77777777" w:rsidR="008E78B1" w:rsidRDefault="005A7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D743" w14:textId="77777777" w:rsidR="0048638D" w:rsidRDefault="0048638D">
      <w:r>
        <w:separator/>
      </w:r>
    </w:p>
  </w:footnote>
  <w:footnote w:type="continuationSeparator" w:id="0">
    <w:p w14:paraId="4E8FB5E5" w14:textId="77777777" w:rsidR="0048638D" w:rsidRDefault="0048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113B" w14:textId="77777777" w:rsidR="008E78B1" w:rsidRPr="005A74E3" w:rsidRDefault="000C2CD5" w:rsidP="005A74E3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 wp14:anchorId="55B94C32" wp14:editId="40AD0144">
          <wp:simplePos x="0" y="0"/>
          <wp:positionH relativeFrom="column">
            <wp:posOffset>-201295</wp:posOffset>
          </wp:positionH>
          <wp:positionV relativeFrom="page">
            <wp:posOffset>459105</wp:posOffset>
          </wp:positionV>
          <wp:extent cx="1810800" cy="900000"/>
          <wp:effectExtent l="0" t="0" r="0" b="0"/>
          <wp:wrapNone/>
          <wp:docPr id="4" name="Obraz 4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857"/>
    <w:multiLevelType w:val="hybridMultilevel"/>
    <w:tmpl w:val="858853C6"/>
    <w:lvl w:ilvl="0" w:tplc="C8D2DC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C3679E"/>
    <w:multiLevelType w:val="hybridMultilevel"/>
    <w:tmpl w:val="F086C7C4"/>
    <w:lvl w:ilvl="0" w:tplc="5B8A2D5E">
      <w:start w:val="1"/>
      <w:numFmt w:val="upperRoman"/>
      <w:lvlText w:val="%1."/>
      <w:lvlJc w:val="right"/>
      <w:pPr>
        <w:ind w:left="360" w:hanging="360"/>
      </w:pPr>
      <w:rPr>
        <w:rFonts w:ascii="Lato Light" w:hAnsi="Lato Light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74D"/>
    <w:multiLevelType w:val="hybridMultilevel"/>
    <w:tmpl w:val="8B5E1CA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02E6D"/>
    <w:multiLevelType w:val="hybridMultilevel"/>
    <w:tmpl w:val="A82AF5B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C20BA"/>
    <w:multiLevelType w:val="hybridMultilevel"/>
    <w:tmpl w:val="E7D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7BEC"/>
    <w:multiLevelType w:val="hybridMultilevel"/>
    <w:tmpl w:val="BA40DBD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5"/>
    <w:rsid w:val="000C2CD5"/>
    <w:rsid w:val="001519F0"/>
    <w:rsid w:val="00161DE3"/>
    <w:rsid w:val="001E1F9E"/>
    <w:rsid w:val="001F6F43"/>
    <w:rsid w:val="00276049"/>
    <w:rsid w:val="002B5058"/>
    <w:rsid w:val="00370CF1"/>
    <w:rsid w:val="00440B3A"/>
    <w:rsid w:val="0048638D"/>
    <w:rsid w:val="00491B7E"/>
    <w:rsid w:val="00496833"/>
    <w:rsid w:val="004E5E40"/>
    <w:rsid w:val="00533C73"/>
    <w:rsid w:val="0057025D"/>
    <w:rsid w:val="005A75B6"/>
    <w:rsid w:val="005C4433"/>
    <w:rsid w:val="005C70FA"/>
    <w:rsid w:val="006D3AC2"/>
    <w:rsid w:val="006E3F62"/>
    <w:rsid w:val="00722672"/>
    <w:rsid w:val="007668CA"/>
    <w:rsid w:val="00775D79"/>
    <w:rsid w:val="00784318"/>
    <w:rsid w:val="007855D6"/>
    <w:rsid w:val="00802120"/>
    <w:rsid w:val="0083365E"/>
    <w:rsid w:val="00841A27"/>
    <w:rsid w:val="00861800"/>
    <w:rsid w:val="008629E6"/>
    <w:rsid w:val="0089073F"/>
    <w:rsid w:val="008A767D"/>
    <w:rsid w:val="00A50B92"/>
    <w:rsid w:val="00A96CD8"/>
    <w:rsid w:val="00AC3A75"/>
    <w:rsid w:val="00AD77E3"/>
    <w:rsid w:val="00B935A7"/>
    <w:rsid w:val="00C108AB"/>
    <w:rsid w:val="00C11CE2"/>
    <w:rsid w:val="00C55832"/>
    <w:rsid w:val="00CA0700"/>
    <w:rsid w:val="00CD5E7E"/>
    <w:rsid w:val="00CF54C3"/>
    <w:rsid w:val="00D1621A"/>
    <w:rsid w:val="00D45184"/>
    <w:rsid w:val="00DB6AAA"/>
    <w:rsid w:val="00DC3A43"/>
    <w:rsid w:val="00DF1E1C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CEC5"/>
  <w15:chartTrackingRefBased/>
  <w15:docId w15:val="{807D8A92-73E7-4336-AC7D-C51B3F38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CD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C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CD5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C2CD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0C2CD5"/>
  </w:style>
  <w:style w:type="paragraph" w:customStyle="1" w:styleId="Default">
    <w:name w:val="Default"/>
    <w:rsid w:val="008A767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67D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8A7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3E1F45B849C41B188999164539FE8" ma:contentTypeVersion="13" ma:contentTypeDescription="Utwórz nowy dokument." ma:contentTypeScope="" ma:versionID="a9a0572a017e4bea90d2c089847895a3">
  <xsd:schema xmlns:xsd="http://www.w3.org/2001/XMLSchema" xmlns:xs="http://www.w3.org/2001/XMLSchema" xmlns:p="http://schemas.microsoft.com/office/2006/metadata/properties" xmlns:ns3="37b39875-6363-47d2-8126-7eac8a9478bb" xmlns:ns4="e8fca57a-0b05-44ed-8783-b63401605d5d" targetNamespace="http://schemas.microsoft.com/office/2006/metadata/properties" ma:root="true" ma:fieldsID="f8dfd9e2d7ee880ee011229c4196197a" ns3:_="" ns4:_="">
    <xsd:import namespace="37b39875-6363-47d2-8126-7eac8a9478bb"/>
    <xsd:import namespace="e8fca57a-0b05-44ed-8783-b6340160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875-6363-47d2-8126-7eac8a94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a57a-0b05-44ed-8783-b6340160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0658-BD50-4185-AD73-8A14845CB3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fca57a-0b05-44ed-8783-b63401605d5d"/>
    <ds:schemaRef ds:uri="37b39875-6363-47d2-8126-7eac8a9478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F99FC5-8AB6-4810-91D5-ED4393F0F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875-6363-47d2-8126-7eac8a9478bb"/>
    <ds:schemaRef ds:uri="e8fca57a-0b05-44ed-8783-b6340160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B73FC-56E4-4575-9C8F-203E42613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Aleksy</dc:creator>
  <cp:keywords/>
  <dc:description/>
  <cp:lastModifiedBy>Swietłana Dachno</cp:lastModifiedBy>
  <cp:revision>2</cp:revision>
  <dcterms:created xsi:type="dcterms:W3CDTF">2025-04-29T13:32:00Z</dcterms:created>
  <dcterms:modified xsi:type="dcterms:W3CDTF">2025-04-29T13:32:00Z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0x0101007563E1F45B849C41B188999164539FE8</vt:lpwstr>
  </property>
</Properties>
</file>